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6633"/>
        <w:gridCol w:w="2891"/>
      </w:tblGrid>
      <w:tr>
        <w:tc>
          <w:tcPr>
            <w:tcW w:type="dxa" w:w="4762"/>
            <w:tcMar>
              <w:top w:w="160" w:type="dxa"/>
              <w:bottom w:w="160" w:type="dxa"/>
              <w:left w:w="220" w:type="dxa"/>
              <w:right w:w="220" w:type="dxa"/>
            </w:tcMar>
            <w:shd w:fill="2C4A48"/>
          </w:tcPr>
          <w:p>
            <w:pPr>
              <w:spacing w:after="0"/>
            </w:pPr>
            <w:r>
              <w:rPr>
                <w:rFonts w:ascii="Liberation Serif" w:hAnsi="Liberation Serif"/>
                <w:color w:val="F7F5F1"/>
                <w:sz w:val="38"/>
              </w:rPr>
              <w:t>De FamilieRegisseur</w:t>
            </w:r>
          </w:p>
        </w:tc>
        <w:tc>
          <w:tcPr>
            <w:tcW w:type="dxa" w:w="4762"/>
            <w:tcMar>
              <w:top w:w="160" w:type="dxa"/>
              <w:bottom w:w="160" w:type="dxa"/>
              <w:left w:w="220" w:type="dxa"/>
              <w:right w:w="220" w:type="dxa"/>
            </w:tcMar>
            <w:shd w:fill="2C4A48"/>
          </w:tcPr>
          <w:p>
            <w:pPr>
              <w:spacing w:after="0"/>
              <w:jc w:val="right"/>
            </w:pPr>
            <w:r>
              <w:rPr>
                <w:rFonts w:ascii="Calibri" w:hAnsi="Calibri"/>
                <w:color w:val="C8B8A6"/>
                <w:sz w:val="16"/>
              </w:rPr>
              <w:t>DOCUMENTEN</w:t>
              <w:br/>
              <w:t>ALGEMENE VOORWAARDEN</w:t>
            </w:r>
          </w:p>
        </w:tc>
      </w:tr>
    </w:tbl>
    <w:p>
      <w:pPr>
        <w:pStyle w:val="Title"/>
      </w:pPr>
      <w:r>
        <w:t>Algemene voorwaarden</w:t>
      </w:r>
    </w:p>
    <w:p>
      <w:r>
        <w:rPr>
          <w:color w:val="75685B"/>
          <w:sz w:val="17"/>
        </w:rPr>
        <w:t>Versie 3 oktober 2026</w:t>
      </w:r>
    </w:p>
    <w:p>
      <w:pPr>
        <w:shd w:fill="F7F5F1"/>
        <w:spacing w:before="100" w:after="200"/>
        <w:ind w:left="85" w:right="85"/>
      </w:pPr>
      <w:r>
        <w:t>Deze voorwaarden beschrijven de afspraken voor onze praktische regie en begeleiding van families. De opdrachtbevestiging bepaalt welke werkzaamheden wij voor u uitvoeren en wat die kosten.</w:t>
      </w:r>
    </w:p>
    <w:p>
      <w:pPr>
        <w:pStyle w:val="Heading1"/>
        <w:spacing w:before="200" w:after="120"/>
        <w:shd w:fill="F7F5F1"/>
        <w:ind w:left="85" w:right="85"/>
      </w:pPr>
      <w:r>
        <w:rPr>
          <w:color w:val="2C4A48"/>
        </w:rPr>
        <w:t>1 Onderneming en toepasselijkheid</w:t>
      </w:r>
    </w:p>
    <w:p>
      <w:r>
        <w:rPr>
          <w:color w:val="2C4A48"/>
        </w:rPr>
        <w:t>De FamilieRegisseur is gevestigd aan Nijverheidsweg 7, 9403 VN Assen. Website: www.defamilieregisseur.nl. E-mail: info@defamilieregisseur.nl. Telefoon: 085-744 47 06.</w:t>
      </w:r>
    </w:p>
    <w:p>
      <w:r>
        <w:t>Deze voorwaarden gelden voor onze offertes en overeenkomsten voor praktische ondersteuning en regie, waaronder FamilieConcierge, Zorgeloos Verhuizen, Woning &amp; Nalatenschap, Familieplan voor Later en, indien overeengekomen, digitale inventarisatie. Een consument is een natuurlijke persoon die niet handelt voor zijn beroep of bedrijf.</w:t>
      </w:r>
    </w:p>
    <w:p>
      <w:r>
        <w:t>Wij verstrekken deze voorwaarden vóór het sluiten van de overeenkomst op een manier waarop u ze kunt bewaren. Individueel schriftelijk afgesproken voorwaarden gaan voor. Dwingendrechtelijke consumentenrechten blijven altijd gelden. Een ongeldige bepaling tast de overige bepalingen niet aan.</w:t>
      </w:r>
    </w:p>
    <w:p>
      <w:pPr>
        <w:pStyle w:val="Heading1"/>
        <w:spacing w:before="200" w:after="120"/>
        <w:shd w:fill="F7F5F1"/>
        <w:ind w:left="85" w:right="85"/>
      </w:pPr>
      <w:r>
        <w:rPr>
          <w:color w:val="2C4A48"/>
        </w:rPr>
        <w:t>2 Offerte en opdracht</w:t>
      </w:r>
    </w:p>
    <w:p>
      <w:r>
        <w:t>De offerte of opdrachtbevestiging vermeldt de opdrachtgever, de persoon voor wie wij werken, de inhoud en grenzen van de opdracht, prijs of berekeningswijze, btw, bijkomende kosten, planning en eventuele looptijd. Een offerte is 30 dagen geldig, tenzij een andere termijn is vermeld.</w:t>
      </w:r>
    </w:p>
    <w:p>
      <w:r>
        <w:t>De overeenkomst ontstaat na uw aanvaarding van het aanbod en, waar wettelijk vereist, schriftelijke bevestiging. Wij bevestigen de afspraken op een duurzame gegevensdrager, bijvoorbeeld per e-mail. Meerwerk en wijzigingen in kosten of opdracht voeren wij pas uit na uw akkoord.</w:t>
      </w:r>
    </w:p>
    <w:p>
      <w:pPr>
        <w:pStyle w:val="Heading1"/>
        <w:spacing w:before="200" w:after="120"/>
        <w:shd w:fill="F7F5F1"/>
        <w:ind w:left="85" w:right="85"/>
      </w:pPr>
      <w:r>
        <w:rPr>
          <w:color w:val="2C4A48"/>
        </w:rPr>
        <w:t>3 Wie mag beslissen</w:t>
      </w:r>
    </w:p>
    <w:p>
      <w:r>
        <w:t>Wij leggen vast wie opdrachtgever, betaler en contactpersoon is. Een betaler is niet automatisch opdrachtgever of vertegenwoordiger. Familieleden worden niet automatisch gezamenlijk of hoofdelijk betalingsplichtig; eventuele aansprakelijkheid van meerdere opdrachtgevers spreken wij uitdrukkelijk af.</w:t>
      </w:r>
    </w:p>
    <w:p>
      <w:r>
        <w:t>De persoon die ons instructies geeft, moet daarvoor bevoegd zijn. Een volwassen kind kan niet uitsluitend op grond van de familieband namens een ouder handelen. Waar nodig vragen wij een passende volmacht, rechterlijke beschikking, verklaring van erfrecht of ander bewijs. Wij toetsen welke handelingen de bevoegdheid omvat.</w:t>
      </w:r>
    </w:p>
    <w:p>
      <w:r>
        <w:t>Wij leggen vooraf vast wie instructies mag geven en wie welke informatie ontvangt. Tegenstrijdige instructies, twijfel over bevoegdheid of een geschil over eigendom kunnen aanleiding zijn om het betrokken deel van de opdracht te pauzeren. Wij stellen de betrokkenen daarvan op de hoogte en bespreken hoe de situatie kan worden opgelost.</w:t>
      </w:r>
    </w:p>
    <w:p>
      <w:r/>
    </w:p>
    <w:p>
      <w:pPr>
        <w:pStyle w:val="Heading1"/>
        <w:spacing w:before="200" w:after="120"/>
        <w:pageBreakBefore/>
        <w:shd w:fill="F7F5F1"/>
        <w:ind w:left="85" w:right="85"/>
      </w:pPr>
      <w:r>
        <w:rPr>
          <w:color w:val="2C4A48"/>
        </w:rPr>
        <w:t>4 Uitvoering en grenzen</w:t>
      </w:r>
    </w:p>
    <w:p>
      <w:r>
        <w:t>Wij voeren de opdracht uit met de zorg van een goed opdrachtnemer. Onze regie en begeleiding zijn in beginsel een inspanningsverplichting. Wij garanderen geen woningverkoop, verkoopprijs, zorgplaats, fiscale besparing of akkoord van familieleden. Een concreet afgesproken resultaat blijft wel bindend.</w:t>
      </w:r>
    </w:p>
    <w:p>
      <w:r>
        <w:t>Wij bieden praktische ondersteuning, organiseren werkzaamheden en bewaken afspraken. Specialistisch juridisch, fiscaal, medisch, notarieel of financieel advies wordt alleen gegeven op basis van een afzonderlijke duidelijke opdracht door de daarvoor deskundige en, waar vereist, bevoegde dienstverlener. De opdracht vermeldt wie dat is en onder welke verantwoordelijkheid deze werkt. Een Familieplan voor Later vervangt geen testament of levenstestament.</w:t>
      </w:r>
    </w:p>
    <w:p>
      <w:r>
        <w:t>Wij verlenen geen medische spoedzorg en zijn geen permanente alarmdienst. Bereikbaarheid en reactietijden worden in de opdracht afgesproken. Bij een medische noodsituatie belt u 112 of de aangewezen zorgverlener.</w:t>
      </w:r>
    </w:p>
    <w:p>
      <w:r>
        <w:t>U verstrekt tijdig de informatie, toegang en besluiten die redelijkerwijs voor de opdracht nodig zijn. Wij signaleren relevante onduidelijkheden die wij bij zorgvuldige uitvoering kunnen herkennen. Bij vertraging bespreken wij de gevolgen voor planning en kosten; extra kosten worden niet zonder afspraak opgelegd.</w:t>
      </w:r>
    </w:p>
    <w:p>
      <w:pPr>
        <w:pStyle w:val="Heading1"/>
        <w:spacing w:before="200" w:after="120"/>
        <w:shd w:fill="F7F5F1"/>
        <w:ind w:left="85" w:right="85"/>
      </w:pPr>
      <w:r>
        <w:rPr>
          <w:color w:val="2C4A48"/>
        </w:rPr>
        <w:t>5 Samenwerking met derden</w:t>
      </w:r>
    </w:p>
    <w:p>
      <w:r>
        <w:t>Per ingeschakelde partij leggen wij vast wie de overeenkomst met die partij sluit, wat deze doet en wie de rekening betaalt. Sluit u rechtstreeks een overeenkomst met een specialist, dan is die specialist verantwoordelijk voor de eigen dienstverlening. Wij blijven verantwoordelijk voor onze eigen selectie, informatie, afstemming en begeleiding.</w:t>
      </w:r>
    </w:p>
    <w:p>
      <w:r>
        <w:t>Schakelen wij een partij in om onze eigen contractuele verplichtingen uit te voeren, dan blijven wij tegenover u verantwoordelijk zoals de wet bepaalt. Wij sluiten aansprakelijkheid voor zulke hulppersonen niet algemeen uit. De voorwaarden van een derde vervangen niet automatisch uw rechten tegenover ons.</w:t>
      </w:r>
    </w:p>
    <w:p>
      <w:r>
        <w:t>Wij gaan geen verplichtingen namens u aan zonder toereikende volmacht en afgesproken budget. Eventuele verwijzingsvergoedingen, provisies of belangen bij een voorgestelde partner maken wij vóór uw keuze inzichtelijk. Voor gereguleerde diensten gelden daarnaast de toepasselijke wettelijke beperkingen.</w:t>
      </w:r>
    </w:p>
    <w:p>
      <w:pPr>
        <w:pStyle w:val="Heading1"/>
        <w:spacing w:before="200" w:after="120"/>
        <w:shd w:fill="F7F5F1"/>
        <w:ind w:left="85" w:right="85"/>
      </w:pPr>
      <w:r>
        <w:rPr>
          <w:color w:val="2C4A48"/>
        </w:rPr>
        <w:t>6 Bezittingen woning en nalatenschap</w:t>
      </w:r>
    </w:p>
    <w:p>
      <w:r>
        <w:t>Wij verkopen, schenken, verdelen, afvoeren of laten vernietigen van goederen alleen na vastgelegde instructies van een bevoegde persoon. Bij een nalatenschap stellen wij vast wie voor de betreffende handeling bevoegd is; een erfgenaam is niet automatisch bevoegd om alleen over alle goederen te beslissen.</w:t>
      </w:r>
    </w:p>
    <w:p>
      <w:r>
        <w:t>Waardevolle goederen, documenten, sleutels en eventuele overdrachten registreren wij volgens de gemaakte afspraken. Wij nemen geen bankpassen, pincodes of bankinloggegevens in beheer. Wij houden geen geld van cliënten of verkoopopbrengsten onder ons; betaling verloopt rechtstreeks via de bevoegde rekeninghouder, specialist of notaris.</w:t>
      </w:r>
    </w:p>
    <w:p>
      <w:r>
        <w:t>Een digitale inventaris geeft overzicht en is geen taxatie, eigendomsbewijs of bindende verdeling. Vaststelling van waarde of rechten vraagt zo nodig een aparte specialist. Bij een eigendomsgeschil voeren wij geen onomkeerbare handelingen met de betwiste goederen uit.</w:t>
      </w:r>
    </w:p>
    <w:p>
      <w:r/>
    </w:p>
    <w:p>
      <w:pPr>
        <w:pStyle w:val="Heading1"/>
        <w:spacing w:before="200" w:after="120"/>
        <w:pageBreakBefore/>
        <w:shd w:fill="F7F5F1"/>
        <w:ind w:left="85" w:right="85"/>
      </w:pPr>
      <w:r>
        <w:rPr>
          <w:color w:val="2C4A48"/>
        </w:rPr>
        <w:t>7 Prijzen facturen en betaling</w:t>
      </w:r>
    </w:p>
    <w:p>
      <w:r>
        <w:t>Consumentenprijzen worden inclusief btw aangeboden. Bijkomende kosten, voorschotten, tarieven van derden en eventuele succesvergoedingen worden vooraf duidelijk afgesproken. Voor een vergoeding bij woningverkoop vermeldt de opdracht de berekeningsbasis, btw, verschuldigdheidsmoment en gevolgen van beëindiging; zonder zulke afspraken geldt geen automatische verkoopvergoeding.</w:t>
      </w:r>
    </w:p>
    <w:p>
      <w:r>
        <w:t>Facturen betaalt u binnen 14 dagen na ontvangst, tenzij een andere redelijke termijn is afgesproken. U kunt een betwist onderdeel gemotiveerd voorleggen. Het onbetwiste deel blijft betaalbaar. Wettelijke rechten op opschorting blijven gelden.</w:t>
      </w:r>
    </w:p>
    <w:p>
      <w:r>
        <w:t>Bij te late betaling kunnen wij wettelijke rente vragen. Voor incassokosten aan consumenten sturen wij eerst een correcte kosteloze aanmaning met een termijn van 14 dagen die begint op de dag na ontvangst. Die aanmaning vermeldt de gevolgen en de wettelijk toegestane incassokosten.</w:t>
      </w:r>
    </w:p>
    <w:p>
      <w:r>
        <w:t>Wij veranderen een afgesproken prijs niet eenzijdig. Voor een nieuwe periode of gewijzigde opdracht doen wij een nieuw voorstel dat u kunt accepteren of weigeren.</w:t>
      </w:r>
    </w:p>
    <w:p>
      <w:pPr>
        <w:pStyle w:val="Heading1"/>
        <w:spacing w:before="200" w:after="120"/>
        <w:shd w:fill="F7F5F1"/>
        <w:ind w:left="85" w:right="85"/>
      </w:pPr>
      <w:r>
        <w:rPr>
          <w:color w:val="2C4A48"/>
        </w:rPr>
        <w:t>8 Bedenktijd bij consumenten</w:t>
      </w:r>
    </w:p>
    <w:p>
      <w:r>
        <w:t>Bij een overeenkomst op afstand of buiten onze bedrijfsruimte waarvoor het wettelijke herroepingsrecht geldt, kunt u zonder reden herroepen tot 14 dagen na de dag waarop de dienstenovereenkomst is gesloten. Een wettelijke uitzondering geldt alleen als die daadwerkelijk van toepassing is; wij informeren u daarover vooraf.</w:t>
      </w:r>
    </w:p>
    <w:p>
      <w:r>
        <w:rPr>
          <w:color w:val="2C4A48"/>
        </w:rPr>
        <w:t>U kunt herroepen met het bijgevoegde formulier of een andere ondubbelzinnige verklaring via e-mail, post of telefoon. Bij online gesloten overeenkomsten waarop de wettelijke verplichting van toepassing is, kunt u ook de herroepingsfunctie gebruiken op [INVULLEN locatie of URL]. Wij bevestigen elektronische herroeping op een duurzame gegevensdrager. Het formulier is niet verplicht.</w:t>
      </w:r>
    </w:p>
    <w:p>
      <w:r>
        <w:t>Wij starten tijdens de bedenktijd alleen als u dat uitdrukkelijk verzoekt. Bij een overeenkomst buiten de bedrijfsruimte vragen wij dat verzoek op een duurzame gegevensdrager. Herroept u daarna, dan betaalt u uitsluitend een evenredig bedrag voor het reeds geleverde deel, voor zover aan de wettelijke informatie- en verzoekvereisten is voldaan. Anders zijn die kosten niet verschuldigd.</w:t>
      </w:r>
    </w:p>
    <w:p>
      <w:r>
        <w:t>Uw herroepingsrecht vervalt bij een volledig uitgevoerde dienst alleen wanneer u vooraf uitdrukkelijk instemde met vroege uitvoering en erkende dat u het recht na volledige uitvoering verliest. Het enkele begin van de werkzaamheden laat het recht niet vervallen. Voor zelfstandige digitale inhoud kunnen andere wettelijke vereisten gelden; daarover informeren wij u zo nodig afzonderlijk.</w:t>
      </w:r>
    </w:p>
    <w:p>
      <w:r>
        <w:t>Bij herroeping betalen wij verschuldigde bedragen binnen 14 dagen na ontvangst van uw verklaring terug via hetzelfde betaalmiddel, tenzij u instemt met een andere kosteloze wijze. Een wettelijk verschuldigde evenredige vergoeding voor uitvoering kan worden verrekend.</w:t>
      </w:r>
    </w:p>
    <w:p>
      <w:r/>
    </w:p>
    <w:p>
      <w:pPr>
        <w:pStyle w:val="Heading1"/>
        <w:spacing w:before="200" w:after="120"/>
        <w:pageBreakBefore/>
        <w:shd w:fill="F7F5F1"/>
        <w:ind w:left="85" w:right="85"/>
      </w:pPr>
      <w:r>
        <w:rPr>
          <w:color w:val="2C4A48"/>
        </w:rPr>
        <w:t>9 Opzeggen en eindafrekening</w:t>
      </w:r>
    </w:p>
    <w:p>
      <w:r>
        <w:t>Een consument kan een overeenkomst van opdracht op ieder moment opzeggen. Daarvoor rekenen wij geen boete of automatische schadevergoeding. U kunt opzeggen per e-mail, brief of via het kanaal waarmee de overeenkomst is gesloten; ook een andere duidelijke mededeling wordt behandeld.</w:t>
      </w:r>
    </w:p>
    <w:p>
      <w:r>
        <w:t>Bij beëindiging rekenen wij af volgens de wettelijke regels. Reeds uitgevoerd werk en redelijke, aantoonbare, toerekenbare onkosten kunnen verschuldigd zijn. Bij een vaste prijs beoordelen wij een redelijke vergoeding op basis van het uitgevoerde werk, uw voordeel en de reden van beëindiging. Wij rekenen niet standaard de volledige resterende prijs of een vast annuleringspercentage. Bedenktijd en ontbinding wegens een tekortkoming worden afzonderlijk beoordeeld.</w:t>
      </w:r>
    </w:p>
    <w:p>
      <w:r>
        <w:t>Doorlopende regieopdrachten voor consumenten hebben standaard geen minimumduur. Na opzegging stopt de regie op uw gewenste datum en worden vooruitbetaalde bedragen voor niet geleverde perioden terugbetaald, met inachtneming van een eventuele wettelijke eindafrekening. Een afzonderlijk zelfstandig platformabonnement wordt alleen aangeboden met vooraf duidelijke toepasselijke voorwaarden.</w:t>
      </w:r>
    </w:p>
    <w:p>
      <w:r>
        <w:t>Voor een zakelijke opdrachtgever geldt de schriftelijk afgesproken duur en opzegtermijn. Bij ontbreken daarvan kan een doorlopende overeenkomst met een opzegtermijn van één maand worden beëindigd, behoudens wettelijke rechten op eerdere beëindiging.</w:t>
      </w:r>
    </w:p>
    <w:p>
      <w:r>
        <w:t>Wij beëindigen een opdracht van een consument alleen op wettelijke gronden, waaronder gewichtige redenen waar vereist. Waar mogelijk waarschuwen wij vooraf en zorgen wij voor een redelijke overdracht. Overlijden beëindigt of verlengt de opdracht niet automatisch; wij beoordelen de overeenkomst en de bevoegdheden en leggen eventuele voortzetting vast.</w:t>
      </w:r>
    </w:p>
    <w:p>
      <w:pPr>
        <w:pStyle w:val="Heading1"/>
        <w:spacing w:before="200" w:after="120"/>
        <w:shd w:fill="F7F5F1"/>
        <w:ind w:left="85" w:right="85"/>
      </w:pPr>
      <w:r>
        <w:rPr>
          <w:color w:val="2C4A48"/>
        </w:rPr>
        <w:t>10 Niet kunnen uitvoeren en tekortkomingen</w:t>
      </w:r>
    </w:p>
    <w:p>
      <w:r>
        <w:t>Bij overmacht informeren wij u zo snel mogelijk en beperken wij de gevolgen. Overmacht bestaat alleen wanneer de tekortkoming wettelijk niet aan ons kan worden toegerekend. Gewone drukte, een vermijdbaar systeemprobleem of uitval waarvoor wij redelijkerwijs vervanging konden regelen is niet automatisch overmacht.</w:t>
      </w:r>
    </w:p>
    <w:p>
      <w:r>
        <w:t>Wij bespreken uitstel, vervanging of beëindiging. Duurt de verhindering langer dan 30 dagen, dan kan ieder de nog niet uitgevoerde werkzaamheden beëindigen. U behoudt uw wettelijke rechten op eerdere ontbinding. Vooruitbetaling voor niet geleverde werkzaamheden wordt terugbetaald.</w:t>
      </w:r>
    </w:p>
    <w:p>
      <w:r>
        <w:t>Voldoen wij niet aan de overeenkomst, dan kunt u nakoming vragen en, waar vereist, een redelijke hersteltermijn geven. Wettelijke rechten op opschorting, ontbinding en schadevergoeding blijven bestaan.</w:t>
      </w:r>
    </w:p>
    <w:p>
      <w:pPr>
        <w:pStyle w:val="Heading1"/>
        <w:spacing w:before="200" w:after="120"/>
        <w:shd w:fill="F7F5F1"/>
        <w:ind w:left="85" w:right="85"/>
      </w:pPr>
      <w:r>
        <w:rPr>
          <w:color w:val="2C4A48"/>
        </w:rPr>
        <w:t>11 Aansprakelijkheid</w:t>
      </w:r>
    </w:p>
    <w:p>
      <w:r>
        <w:t>Wij zijn aansprakelijk volgens de toepasselijke wettelijke regels voor schade door een aan ons toerekenbare tekortkoming of onrechtmatige daad. Voor consumenten sluiten wij onze wettelijke aansprakelijkheid niet algemeen uit en leggen wij geen automatische beperking tot de factuur of verzekeringsuitkering op.</w:t>
      </w:r>
    </w:p>
    <w:p>
      <w:r>
        <w:t>U meldt schade zodra dit redelijkerwijs mogelijk is, zodat wij de oorzaak kunnen onderzoeken en verdere schade kunnen beperken. Een late melding leidt niet automatisch tot verlies van uw rechten. Als onjuiste informatie of handelen van een betrokkene aan schade bijdraagt, beoordelen wij de gevolgen volgens de wet.</w:t>
      </w:r>
    </w:p>
    <w:p>
      <w:r>
        <w:t>Voor zakelijke opdrachtgevers kan een specifieke aansprakelijkheidsregeling afzonderlijk schriftelijk worden overeengekomen. Zonder zo’n afspraak gelden ook voor hen de wettelijke regels.</w:t>
      </w:r>
    </w:p>
    <w:p>
      <w:r/>
    </w:p>
    <w:p>
      <w:pPr>
        <w:pStyle w:val="Heading1"/>
        <w:spacing w:before="200" w:after="120"/>
        <w:pageBreakBefore/>
        <w:shd w:fill="F7F5F1"/>
        <w:ind w:left="85" w:right="85"/>
      </w:pPr>
      <w:r>
        <w:rPr>
          <w:color w:val="2C4A48"/>
        </w:rPr>
        <w:t>12 Privacy vertrouwelijkheid en digitale toegang</w:t>
      </w:r>
    </w:p>
    <w:p>
      <w:r>
        <w:t>Wij behandelen familiegegevens vertrouwelijk en verwerken persoonsgegevens volgens onze privacyverklaring. Toestemming voor toegang of gevoelige gegevens vragen wij waar nodig afzonderlijk; akkoord met deze voorwaarden is geen algemene privacytoestemming.</w:t>
      </w:r>
    </w:p>
    <w:p>
      <w:r>
        <w:t>Gebruikers van digitale inventarisatie krijgen persoonlijke toegang volgens de afgesproken rollen. U meldt verlies of misbruik van toegang zo snel mogelijk. Wij stellen bij afronding informatie beschikbaar aan bevoegde personen en beëindigen toegang volgens de afspraken en wettelijke plichten. Wij respecteren uw rechten op eigen gegevens en documenten.</w:t>
      </w:r>
    </w:p>
    <w:p>
      <w:r>
        <w:t>Onze eigen formats en methodieken blijven ons intellectueel eigendom. U mag geleverde rapporten en plannen gebruiken en delen met uw familie en adviseurs voor het doel van de opdracht. Deze bepaling beperkt geen wettelijke gegevensrechten.</w:t>
      </w:r>
    </w:p>
    <w:p>
      <w:pPr>
        <w:pStyle w:val="Heading1"/>
        <w:spacing w:before="200" w:after="120"/>
        <w:shd w:fill="F7F5F1"/>
        <w:ind w:left="85" w:right="85"/>
      </w:pPr>
      <w:r>
        <w:rPr>
          <w:color w:val="2C4A48"/>
        </w:rPr>
        <w:t>13 Klachten wijzigingen en geschillen</w:t>
      </w:r>
    </w:p>
    <w:p>
      <w:r>
        <w:rPr>
          <w:color w:val="2C4A48"/>
        </w:rPr>
        <w:t>Een klacht kunt u indienen via info@defamilieregisseur.nl. Wij bevestigen ontvangst binnen 5 werkdagen en reageren inhoudelijk binnen 14 dagen. Is meer tijd nodig, dan leggen wij uit waarom en wanneer u een reactie kunt verwachten. Een klacht of gemiste klachttermijn leidt niet automatisch tot verval van uw wettelijke rechten.</w:t>
      </w:r>
    </w:p>
    <w:p>
      <w:r>
        <w:t>Wij wijzigen deze voorwaarden niet eenzijdig voor een bestaande opdracht. Een wijziging geldt voor nieuwe overeenkomsten of na uw instemming. Wettelijk verplichte aanpassingen worden toegelicht en beperken geen dwingendrechtelijke rechten.</w:t>
      </w:r>
    </w:p>
    <w:p>
      <w:r>
        <w:t>Nederlands recht is van toepassing. Een consument behoudt de bescherming van dwingend recht die eventueel op grond van zijn gewone verblijfplaats van toepassing is. Geschillen kunnen worden voorgelegd aan de rechter die volgens de wettelijke regels bevoegd is. U bent niet verplicht een particuliere geschillenregeling te gebruiken.</w:t>
      </w:r>
    </w:p>
    <w:p>
      <w:pPr>
        <w:pStyle w:val="Heading1"/>
        <w:spacing w:before="200" w:after="120"/>
        <w:shd w:fill="F7F5F1"/>
        <w:ind w:left="85" w:right="85"/>
      </w:pPr>
      <w:r>
        <w:rPr>
          <w:color w:val="2C4A48"/>
        </w:rPr>
        <w:t>Bijlage Modelformulier voor herroeping</w:t>
      </w:r>
    </w:p>
    <w:p>
      <w:r>
        <w:t>Gebruik dit formulier alleen als u een overeenkomst wilt herroepen. Een andere ondubbelzinnige verklaring volstaat ook.</w:t>
      </w:r>
    </w:p>
    <w:p>
      <w:r>
        <w:rPr>
          <w:color w:val="2C4A48"/>
        </w:rPr>
        <w:t>Aan: De FamilieRegisseur</w:t>
        <w:br/>
        <w:t>Adres: Nijverheidsweg 7, 9403 VN Assen</w:t>
        <w:br/>
        <w:t>E-mail: info@defamilieregisseur.nl</w:t>
      </w:r>
    </w:p>
    <w:p>
      <w:r>
        <w:t>Hierbij deel ik / delen wij u mee dat ik / wij onze overeenkomst betreffende de volgende dienst herroep / herroepen:</w:t>
        <w:br/>
        <w:t>Dienst en eventueel opdrachtnummer: .............................................................</w:t>
        <w:br/>
        <w:t>Datum waarop de overeenkomst is gesloten: ...................................................</w:t>
        <w:br/>
        <w:t>Naam consument of consumenten: ..................................................................</w:t>
        <w:br/>
        <w:t>Adres consument of consumenten: ...................................................................</w:t>
        <w:br/>
        <w:t>Datum: ...........................................................................................................</w:t>
        <w:br/>
        <w:t>Handtekening, uitsluitend bij indiening op papier: .............................................</w:t>
      </w:r>
    </w:p>
    <w:p>
      <w:r>
        <w:t>Schrap wat niet van toepassing is. U hoeft geen reden op te geven.</w:t>
      </w:r>
    </w:p>
    <w:sectPr w:rsidR="00FC693F" w:rsidRPr="0006063C" w:rsidSect="00034616">
      <w:footerReference w:type="default" r:id="rId9"/>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Bdr>
        <w:top w:val="single" w:sz="6" w:space="8" w:color="C8B8A6"/>
      </w:pBdr>
    </w:pPr>
    <w:r>
      <w:rPr>
        <w:color w:val="2C4A48"/>
        <w:sz w:val="16"/>
      </w:rPr>
      <w:t xml:space="preserve">De FamilieRegisseur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2C4A48"/>
      <w:sz w:val="25"/>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2C4A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280"/>
      <w:contextualSpacing/>
    </w:pPr>
    <w:rPr>
      <w:rFonts w:asciiTheme="majorHAnsi" w:eastAsiaTheme="majorEastAsia" w:hAnsiTheme="majorHAnsi" w:cstheme="majorBidi" w:ascii="Liberation Serif" w:hAnsi="Liberation Serif"/>
      <w:b w:val="0"/>
      <w:color w:val="2C4A48"/>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dc:title>
  <dc:subject/>
  <dc:creator>De FamilieRegisseur</dc:creator>
  <cp:keywords/>
  <dc:description>generated by python-docx</dc:description>
  <cp:lastModifiedBy/>
  <cp:revision>1</cp:revision>
  <dcterms:created xsi:type="dcterms:W3CDTF">2013-12-23T23:15:00Z</dcterms:created>
  <dcterms:modified xsi:type="dcterms:W3CDTF">2013-12-23T23:15:00Z</dcterms:modified>
  <cp:category/>
</cp:coreProperties>
</file>